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both"/>
        <w:outlineLvl w:val="0"/>
        <w:rPr>
          <w:rFonts w:hint="eastAsia" w:ascii="仿宋_GB2312" w:hAnsi="仿宋_GB2312" w:eastAsia="仿宋_GB2312" w:cs="仿宋_GB2312"/>
          <w:b/>
          <w:bCs/>
          <w:color w:val="333333"/>
          <w:kern w:val="0"/>
          <w:sz w:val="30"/>
          <w:szCs w:val="30"/>
          <w:shd w:val="clear" w:color="auto" w:fill="FFFFFF"/>
        </w:rPr>
      </w:pPr>
      <w:r>
        <w:rPr>
          <w:rFonts w:hint="eastAsia" w:ascii="仿宋_GB2312" w:hAnsi="仿宋_GB2312" w:eastAsia="仿宋_GB2312" w:cs="仿宋_GB2312"/>
          <w:b/>
          <w:bCs/>
          <w:color w:val="333333"/>
          <w:kern w:val="0"/>
          <w:sz w:val="30"/>
          <w:szCs w:val="30"/>
          <w:shd w:val="clear" w:color="auto" w:fill="FFFFFF"/>
        </w:rPr>
        <w:t>附件二</w:t>
      </w:r>
      <w:bookmarkStart w:id="0" w:name="_GoBack"/>
      <w:bookmarkEnd w:id="0"/>
    </w:p>
    <w:p>
      <w:pPr>
        <w:widowControl/>
        <w:shd w:val="clear" w:color="auto" w:fill="FFFFFF"/>
        <w:jc w:val="center"/>
        <w:outlineLvl w:val="0"/>
        <w:rPr>
          <w:rFonts w:ascii="微软雅黑" w:hAnsi="微软雅黑" w:eastAsia="微软雅黑" w:cs="微软雅黑"/>
          <w:color w:val="333333"/>
          <w:szCs w:val="21"/>
        </w:rPr>
      </w:pPr>
      <w:r>
        <w:rPr>
          <w:rFonts w:ascii="方正小标宋简体" w:hAnsi="方正小标宋简体" w:eastAsia="方正小标宋简体" w:cs="方正小标宋简体"/>
          <w:color w:val="333333"/>
          <w:kern w:val="0"/>
          <w:sz w:val="36"/>
          <w:szCs w:val="36"/>
          <w:shd w:val="clear" w:color="auto" w:fill="FFFFFF"/>
        </w:rPr>
        <w:t>征集电子保单保函服务机构评分细则</w:t>
      </w:r>
    </w:p>
    <w:tbl>
      <w:tblPr>
        <w:tblStyle w:val="3"/>
        <w:tblW w:w="955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426"/>
        <w:gridCol w:w="684"/>
        <w:gridCol w:w="627"/>
        <w:gridCol w:w="5847"/>
        <w:gridCol w:w="1200"/>
        <w:gridCol w:w="76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76" w:hRule="atLeast"/>
          <w:jc w:val="center"/>
        </w:trPr>
        <w:tc>
          <w:tcPr>
            <w:tcW w:w="426" w:type="dxa"/>
            <w:tcBorders>
              <w:top w:val="single" w:color="auto" w:sz="8" w:space="0"/>
              <w:left w:val="single" w:color="auto" w:sz="8" w:space="0"/>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r>
              <w:rPr>
                <w:rFonts w:hint="eastAsia" w:cs="仿宋" w:asciiTheme="minorEastAsia" w:hAnsiTheme="minorEastAsia"/>
                <w:kern w:val="0"/>
                <w:sz w:val="24"/>
              </w:rPr>
              <w:t>序号</w:t>
            </w:r>
          </w:p>
        </w:tc>
        <w:tc>
          <w:tcPr>
            <w:tcW w:w="684"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r>
              <w:rPr>
                <w:rFonts w:hint="eastAsia" w:cs="仿宋" w:asciiTheme="minorEastAsia" w:hAnsiTheme="minorEastAsia"/>
                <w:kern w:val="0"/>
                <w:sz w:val="24"/>
              </w:rPr>
              <w:t>评审</w:t>
            </w:r>
          </w:p>
          <w:p>
            <w:pPr>
              <w:widowControl/>
              <w:spacing w:line="230" w:lineRule="atLeast"/>
              <w:jc w:val="center"/>
              <w:rPr>
                <w:rFonts w:asciiTheme="minorEastAsia" w:hAnsiTheme="minorEastAsia"/>
                <w:sz w:val="24"/>
              </w:rPr>
            </w:pPr>
            <w:r>
              <w:rPr>
                <w:rFonts w:hint="eastAsia" w:cs="仿宋" w:asciiTheme="minorEastAsia" w:hAnsiTheme="minorEastAsia"/>
                <w:kern w:val="0"/>
                <w:sz w:val="24"/>
              </w:rPr>
              <w:t>内容</w:t>
            </w:r>
          </w:p>
        </w:tc>
        <w:tc>
          <w:tcPr>
            <w:tcW w:w="627"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r>
              <w:rPr>
                <w:rFonts w:hint="eastAsia" w:cs="仿宋" w:asciiTheme="minorEastAsia" w:hAnsiTheme="minorEastAsia"/>
                <w:kern w:val="0"/>
                <w:sz w:val="24"/>
              </w:rPr>
              <w:t>分值</w:t>
            </w:r>
          </w:p>
        </w:tc>
        <w:tc>
          <w:tcPr>
            <w:tcW w:w="5847"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r>
              <w:rPr>
                <w:rFonts w:hint="eastAsia" w:cs="仿宋" w:asciiTheme="minorEastAsia" w:hAnsiTheme="minorEastAsia"/>
                <w:kern w:val="0"/>
                <w:sz w:val="24"/>
              </w:rPr>
              <w:t>评审标准</w:t>
            </w:r>
          </w:p>
        </w:tc>
        <w:tc>
          <w:tcPr>
            <w:tcW w:w="1200"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r>
              <w:rPr>
                <w:rFonts w:hint="eastAsia" w:cs="仿宋" w:asciiTheme="minorEastAsia" w:hAnsiTheme="minorEastAsia"/>
                <w:kern w:val="0"/>
                <w:sz w:val="24"/>
              </w:rPr>
              <w:t>备  注</w:t>
            </w:r>
          </w:p>
        </w:tc>
        <w:tc>
          <w:tcPr>
            <w:tcW w:w="769"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spacing w:line="230" w:lineRule="atLeast"/>
              <w:jc w:val="center"/>
              <w:rPr>
                <w:rFonts w:asciiTheme="minorEastAsia" w:hAnsiTheme="minorEastAsia"/>
                <w:sz w:val="24"/>
              </w:rPr>
            </w:pPr>
            <w:r>
              <w:rPr>
                <w:rFonts w:hint="eastAsia" w:cs="仿宋" w:asciiTheme="minorEastAsia" w:hAnsiTheme="minorEastAsia"/>
                <w:kern w:val="0"/>
                <w:sz w:val="24"/>
              </w:rPr>
              <w:t>得分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26" w:type="dxa"/>
            <w:tcBorders>
              <w:top w:val="nil"/>
              <w:left w:val="single" w:color="auto" w:sz="8" w:space="0"/>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r>
              <w:rPr>
                <w:rFonts w:hint="eastAsia" w:cs="仿宋" w:asciiTheme="minorEastAsia" w:hAnsiTheme="minorEastAsia"/>
                <w:kern w:val="0"/>
                <w:sz w:val="24"/>
              </w:rPr>
              <w:t>1</w:t>
            </w:r>
          </w:p>
        </w:tc>
        <w:tc>
          <w:tcPr>
            <w:tcW w:w="684" w:type="dxa"/>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r>
              <w:rPr>
                <w:rFonts w:hint="eastAsia" w:cs="仿宋" w:asciiTheme="minorEastAsia" w:hAnsiTheme="minorEastAsia"/>
                <w:kern w:val="0"/>
                <w:sz w:val="24"/>
              </w:rPr>
              <w:t>收费标准</w:t>
            </w:r>
          </w:p>
        </w:tc>
        <w:tc>
          <w:tcPr>
            <w:tcW w:w="627" w:type="dxa"/>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r>
              <w:rPr>
                <w:rFonts w:hint="eastAsia" w:cs="仿宋" w:asciiTheme="minorEastAsia" w:hAnsiTheme="minorEastAsia"/>
                <w:kern w:val="0"/>
                <w:sz w:val="24"/>
              </w:rPr>
              <w:t>20分</w:t>
            </w:r>
          </w:p>
        </w:tc>
        <w:tc>
          <w:tcPr>
            <w:tcW w:w="5847" w:type="dxa"/>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ind w:firstLine="480" w:firstLineChars="200"/>
              <w:jc w:val="left"/>
              <w:rPr>
                <w:rFonts w:asciiTheme="minorEastAsia" w:hAnsiTheme="minorEastAsia"/>
                <w:sz w:val="24"/>
              </w:rPr>
            </w:pPr>
            <w:r>
              <w:rPr>
                <w:rFonts w:hint="eastAsia" w:cs="仿宋" w:asciiTheme="minorEastAsia" w:hAnsiTheme="minorEastAsia"/>
                <w:kern w:val="0"/>
                <w:sz w:val="24"/>
              </w:rPr>
              <w:t>严格按照确认的比例收取，目前确认按照保额的8‰执行，如有调整，市交易中心以书面形式通知确认。</w:t>
            </w:r>
          </w:p>
        </w:tc>
        <w:tc>
          <w:tcPr>
            <w:tcW w:w="1200" w:type="dxa"/>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left"/>
              <w:rPr>
                <w:rFonts w:asciiTheme="minorEastAsia" w:hAnsiTheme="minorEastAsia"/>
                <w:sz w:val="24"/>
              </w:rPr>
            </w:pPr>
            <w:r>
              <w:rPr>
                <w:rFonts w:hint="eastAsia" w:cs="仿宋" w:asciiTheme="minorEastAsia" w:hAnsiTheme="minorEastAsia"/>
                <w:kern w:val="0"/>
                <w:sz w:val="24"/>
              </w:rPr>
              <w:t>提供承诺函</w:t>
            </w:r>
          </w:p>
        </w:tc>
        <w:tc>
          <w:tcPr>
            <w:tcW w:w="76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spacing w:line="230" w:lineRule="atLeast"/>
              <w:jc w:val="left"/>
              <w:rPr>
                <w:rFonts w:asciiTheme="minorEastAsia" w:hAnsiTheme="minorEastAsia"/>
                <w:sz w:val="24"/>
              </w:rPr>
            </w:pPr>
            <w:r>
              <w:rPr>
                <w:rFonts w:hint="eastAsia" w:cs="仿宋" w:asciiTheme="minorEastAsia" w:hAnsiTheme="minorEastAsia"/>
                <w:kern w:val="0"/>
                <w:sz w:val="24"/>
              </w:rPr>
              <w:t> </w:t>
            </w:r>
          </w:p>
          <w:p>
            <w:pPr>
              <w:widowControl/>
              <w:spacing w:line="230" w:lineRule="atLeast"/>
              <w:jc w:val="left"/>
              <w:rPr>
                <w:rFonts w:asciiTheme="minorEastAsia" w:hAnsiTheme="minorEastAsia"/>
                <w:sz w:val="24"/>
              </w:rPr>
            </w:pPr>
            <w:r>
              <w:rPr>
                <w:rFonts w:hint="eastAsia" w:cs="仿宋" w:asciiTheme="minorEastAsia" w:hAnsiTheme="minorEastAsia"/>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85" w:hRule="atLeast"/>
          <w:jc w:val="center"/>
        </w:trPr>
        <w:tc>
          <w:tcPr>
            <w:tcW w:w="426" w:type="dxa"/>
            <w:tcBorders>
              <w:top w:val="nil"/>
              <w:left w:val="single" w:color="auto" w:sz="8" w:space="0"/>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r>
              <w:rPr>
                <w:rFonts w:hint="eastAsia" w:cs="仿宋" w:asciiTheme="minorEastAsia" w:hAnsiTheme="minorEastAsia"/>
                <w:kern w:val="0"/>
                <w:sz w:val="24"/>
              </w:rPr>
              <w:t>2</w:t>
            </w:r>
          </w:p>
        </w:tc>
        <w:tc>
          <w:tcPr>
            <w:tcW w:w="684" w:type="dxa"/>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r>
              <w:rPr>
                <w:rFonts w:hint="eastAsia" w:cs="仿宋" w:asciiTheme="minorEastAsia" w:hAnsiTheme="minorEastAsia"/>
                <w:kern w:val="0"/>
                <w:sz w:val="24"/>
              </w:rPr>
              <w:t>服务方案</w:t>
            </w:r>
          </w:p>
        </w:tc>
        <w:tc>
          <w:tcPr>
            <w:tcW w:w="627" w:type="dxa"/>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r>
              <w:rPr>
                <w:rFonts w:hint="eastAsia" w:cs="仿宋" w:asciiTheme="minorEastAsia" w:hAnsiTheme="minorEastAsia"/>
                <w:kern w:val="0"/>
                <w:sz w:val="24"/>
              </w:rPr>
              <w:t>25分</w:t>
            </w:r>
          </w:p>
        </w:tc>
        <w:tc>
          <w:tcPr>
            <w:tcW w:w="5847" w:type="dxa"/>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ind w:firstLine="480" w:firstLineChars="200"/>
              <w:jc w:val="left"/>
              <w:rPr>
                <w:rFonts w:asciiTheme="minorEastAsia" w:hAnsiTheme="minorEastAsia"/>
                <w:sz w:val="24"/>
              </w:rPr>
            </w:pPr>
            <w:r>
              <w:rPr>
                <w:rFonts w:hint="eastAsia" w:cs="仿宋" w:asciiTheme="minorEastAsia" w:hAnsiTheme="minorEastAsia"/>
                <w:kern w:val="0"/>
                <w:sz w:val="24"/>
              </w:rPr>
              <w:t>根据投标人制定的服务方案进行综合评定，包括但不限于技术方案、日常管理方案、安全方案、保密方案、售后服务方案。能完全满足内江市公共资源交易服务电子保单保函业务要求且方案可行具操作性的每提供一项得4分，其中，每有一项表述条理清晰、内容完备、切实可行的加1分，最多加5分。</w:t>
            </w:r>
          </w:p>
        </w:tc>
        <w:tc>
          <w:tcPr>
            <w:tcW w:w="1200" w:type="dxa"/>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left"/>
              <w:rPr>
                <w:rFonts w:asciiTheme="minorEastAsia" w:hAnsiTheme="minorEastAsia"/>
                <w:sz w:val="24"/>
              </w:rPr>
            </w:pPr>
            <w:r>
              <w:rPr>
                <w:rFonts w:hint="eastAsia" w:cs="仿宋" w:asciiTheme="minorEastAsia" w:hAnsiTheme="minorEastAsia"/>
                <w:kern w:val="0"/>
                <w:sz w:val="24"/>
              </w:rPr>
              <w:t> </w:t>
            </w:r>
          </w:p>
        </w:tc>
        <w:tc>
          <w:tcPr>
            <w:tcW w:w="76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spacing w:line="230" w:lineRule="atLeast"/>
              <w:jc w:val="left"/>
              <w:rPr>
                <w:rFonts w:asciiTheme="minorEastAsia" w:hAnsiTheme="minorEastAsia"/>
                <w:sz w:val="24"/>
              </w:rPr>
            </w:pPr>
            <w:r>
              <w:rPr>
                <w:rFonts w:hint="eastAsia" w:cs="仿宋" w:asciiTheme="minorEastAsia" w:hAnsiTheme="minorEastAsia"/>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58" w:hRule="atLeast"/>
          <w:jc w:val="center"/>
        </w:trPr>
        <w:tc>
          <w:tcPr>
            <w:tcW w:w="426" w:type="dxa"/>
            <w:vMerge w:val="restart"/>
            <w:tcBorders>
              <w:top w:val="nil"/>
              <w:left w:val="single" w:color="auto" w:sz="8" w:space="0"/>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r>
              <w:rPr>
                <w:rFonts w:hint="eastAsia" w:cs="仿宋" w:asciiTheme="minorEastAsia" w:hAnsiTheme="minorEastAsia"/>
                <w:kern w:val="0"/>
                <w:sz w:val="24"/>
              </w:rPr>
              <w:t>3</w:t>
            </w:r>
          </w:p>
        </w:tc>
        <w:tc>
          <w:tcPr>
            <w:tcW w:w="684" w:type="dxa"/>
            <w:vMerge w:val="restart"/>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r>
              <w:rPr>
                <w:rFonts w:hint="eastAsia" w:asciiTheme="minorEastAsia" w:hAnsiTheme="minorEastAsia"/>
                <w:sz w:val="24"/>
              </w:rPr>
              <w:t>履约能力</w:t>
            </w:r>
          </w:p>
        </w:tc>
        <w:tc>
          <w:tcPr>
            <w:tcW w:w="627" w:type="dxa"/>
            <w:vMerge w:val="restart"/>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r>
              <w:rPr>
                <w:rFonts w:hint="eastAsia" w:cs="仿宋" w:asciiTheme="minorEastAsia" w:hAnsiTheme="minorEastAsia"/>
                <w:kern w:val="0"/>
                <w:sz w:val="24"/>
              </w:rPr>
              <w:t>30分</w:t>
            </w:r>
          </w:p>
        </w:tc>
        <w:tc>
          <w:tcPr>
            <w:tcW w:w="5847" w:type="dxa"/>
            <w:tcBorders>
              <w:top w:val="nil"/>
              <w:left w:val="nil"/>
              <w:right w:val="single" w:color="auto" w:sz="8" w:space="0"/>
            </w:tcBorders>
            <w:shd w:val="clear" w:color="auto" w:fill="auto"/>
            <w:tcMar>
              <w:top w:w="57" w:type="dxa"/>
              <w:left w:w="57" w:type="dxa"/>
              <w:bottom w:w="57" w:type="dxa"/>
              <w:right w:w="57" w:type="dxa"/>
            </w:tcMar>
            <w:vAlign w:val="center"/>
          </w:tcPr>
          <w:p>
            <w:pPr>
              <w:widowControl/>
              <w:spacing w:line="230" w:lineRule="atLeast"/>
              <w:ind w:firstLine="480" w:firstLineChars="200"/>
              <w:jc w:val="left"/>
              <w:rPr>
                <w:rFonts w:asciiTheme="minorEastAsia" w:hAnsiTheme="minorEastAsia"/>
                <w:sz w:val="24"/>
              </w:rPr>
            </w:pPr>
            <w:r>
              <w:rPr>
                <w:rFonts w:hint="eastAsia" w:asciiTheme="minorEastAsia" w:hAnsiTheme="minorEastAsia"/>
                <w:sz w:val="24"/>
              </w:rPr>
              <w:t>银行（含地方金融法人机构）</w:t>
            </w:r>
          </w:p>
          <w:p>
            <w:pPr>
              <w:tabs>
                <w:tab w:val="left" w:pos="1546"/>
              </w:tabs>
              <w:autoSpaceDE w:val="0"/>
              <w:autoSpaceDN w:val="0"/>
              <w:adjustRightInd w:val="0"/>
              <w:spacing w:line="460" w:lineRule="exact"/>
              <w:ind w:firstLine="424" w:firstLineChars="177"/>
              <w:jc w:val="left"/>
              <w:rPr>
                <w:rFonts w:cs="仿宋" w:asciiTheme="minorEastAsia" w:hAnsiTheme="minorEastAsia"/>
                <w:kern w:val="0"/>
                <w:sz w:val="24"/>
              </w:rPr>
            </w:pPr>
            <w:r>
              <w:rPr>
                <w:rFonts w:hint="eastAsia" w:cs="仿宋" w:asciiTheme="minorEastAsia" w:hAnsiTheme="minorEastAsia"/>
                <w:kern w:val="0"/>
                <w:sz w:val="24"/>
              </w:rPr>
              <w:t>1、参选银行总行资本充足率（10分）。按以下公式计算： [参选银行总行资本充足率-MIN（所有参选银行总行资本充足率）]/ [MAX(所有参选银行总行资本充足率)-MIN(所有参选银行资本充足率）]*10</w:t>
            </w:r>
          </w:p>
          <w:p>
            <w:pPr>
              <w:tabs>
                <w:tab w:val="left" w:pos="1546"/>
              </w:tabs>
              <w:autoSpaceDE w:val="0"/>
              <w:autoSpaceDN w:val="0"/>
              <w:adjustRightInd w:val="0"/>
              <w:spacing w:line="460" w:lineRule="exact"/>
              <w:ind w:firstLine="424" w:firstLineChars="177"/>
              <w:jc w:val="left"/>
              <w:rPr>
                <w:rFonts w:cs="仿宋" w:asciiTheme="minorEastAsia" w:hAnsiTheme="minorEastAsia"/>
                <w:kern w:val="0"/>
                <w:sz w:val="24"/>
              </w:rPr>
            </w:pPr>
            <w:r>
              <w:rPr>
                <w:rFonts w:hint="eastAsia" w:cs="仿宋" w:asciiTheme="minorEastAsia" w:hAnsiTheme="minorEastAsia"/>
                <w:kern w:val="0"/>
                <w:sz w:val="24"/>
              </w:rPr>
              <w:t>2、参选银行总行不良贷款率(10分)。按以下公式计算：[参选银行总行不良贷款率-MAX（所有参选银行总行不良贷款率）]/ [MIN(所有参选银行总行总行不良贷款率)-MAX(所有参选银行总行不良贷款率）]*10</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3、与公共资源交易机构对接实施的全流程电子保单保函成功案例的，每提供一个得2</w:t>
            </w:r>
            <w:r>
              <w:rPr>
                <w:rFonts w:asciiTheme="minorEastAsia" w:hAnsiTheme="minorEastAsia" w:eastAsiaTheme="minorEastAsia"/>
                <w:sz w:val="24"/>
              </w:rPr>
              <w:t>分，</w:t>
            </w:r>
            <w:r>
              <w:rPr>
                <w:rFonts w:hint="eastAsia" w:asciiTheme="minorEastAsia" w:hAnsiTheme="minorEastAsia" w:eastAsiaTheme="minorEastAsia"/>
                <w:sz w:val="24"/>
              </w:rPr>
              <w:t>最高不超过10</w:t>
            </w:r>
            <w:r>
              <w:rPr>
                <w:rFonts w:asciiTheme="minorEastAsia" w:hAnsiTheme="minorEastAsia" w:eastAsiaTheme="minorEastAsia"/>
                <w:sz w:val="24"/>
              </w:rPr>
              <w:t>分。</w:t>
            </w:r>
          </w:p>
        </w:tc>
        <w:tc>
          <w:tcPr>
            <w:tcW w:w="1200" w:type="dxa"/>
            <w:tcBorders>
              <w:top w:val="nil"/>
              <w:left w:val="nil"/>
              <w:right w:val="single" w:color="auto" w:sz="8" w:space="0"/>
            </w:tcBorders>
            <w:shd w:val="clear" w:color="auto" w:fill="auto"/>
            <w:tcMar>
              <w:top w:w="57" w:type="dxa"/>
              <w:left w:w="57" w:type="dxa"/>
              <w:bottom w:w="57" w:type="dxa"/>
              <w:right w:w="57" w:type="dxa"/>
            </w:tcMar>
            <w:vAlign w:val="center"/>
          </w:tcPr>
          <w:p>
            <w:pPr>
              <w:widowControl/>
              <w:spacing w:line="230" w:lineRule="atLeast"/>
              <w:jc w:val="left"/>
              <w:rPr>
                <w:rFonts w:asciiTheme="minorEastAsia" w:hAnsiTheme="minorEastAsia"/>
                <w:sz w:val="24"/>
              </w:rPr>
            </w:pPr>
            <w:r>
              <w:rPr>
                <w:rFonts w:hint="eastAsia" w:cs="仿宋" w:asciiTheme="minorEastAsia" w:hAnsiTheme="minorEastAsia"/>
                <w:kern w:val="0"/>
                <w:sz w:val="24"/>
              </w:rPr>
              <w:t>提供相关证明材料</w:t>
            </w:r>
          </w:p>
        </w:tc>
        <w:tc>
          <w:tcPr>
            <w:tcW w:w="769" w:type="dxa"/>
            <w:tcBorders>
              <w:top w:val="nil"/>
              <w:left w:val="nil"/>
              <w:right w:val="single" w:color="auto" w:sz="8" w:space="0"/>
            </w:tcBorders>
            <w:shd w:val="clear" w:color="auto" w:fill="auto"/>
            <w:tcMar>
              <w:top w:w="0" w:type="dxa"/>
              <w:left w:w="0" w:type="dxa"/>
              <w:bottom w:w="0" w:type="dxa"/>
              <w:right w:w="0" w:type="dxa"/>
            </w:tcMar>
            <w:vAlign w:val="center"/>
          </w:tcPr>
          <w:p>
            <w:pPr>
              <w:widowControl/>
              <w:spacing w:line="230" w:lineRule="atLeast"/>
              <w:jc w:val="left"/>
              <w:rPr>
                <w:rFonts w:asciiTheme="minorEastAsia" w:hAnsiTheme="minorEastAsia"/>
                <w:sz w:val="24"/>
              </w:rPr>
            </w:pPr>
            <w:r>
              <w:rPr>
                <w:rFonts w:hint="eastAsia" w:cs="仿宋" w:asciiTheme="minorEastAsia" w:hAnsiTheme="minorEastAsia"/>
                <w:kern w:val="0"/>
                <w:sz w:val="24"/>
              </w:rPr>
              <w:t> </w:t>
            </w:r>
          </w:p>
          <w:p>
            <w:pPr>
              <w:spacing w:line="230" w:lineRule="atLeast"/>
              <w:jc w:val="left"/>
              <w:rPr>
                <w:rFonts w:asciiTheme="minorEastAsia" w:hAnsiTheme="minorEastAsia"/>
                <w:sz w:val="24"/>
              </w:rPr>
            </w:pPr>
            <w:r>
              <w:rPr>
                <w:rFonts w:hint="eastAsia" w:cs="仿宋" w:asciiTheme="minorEastAsia" w:hAnsiTheme="minorEastAsia"/>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41" w:hRule="atLeast"/>
          <w:jc w:val="center"/>
        </w:trPr>
        <w:tc>
          <w:tcPr>
            <w:tcW w:w="426" w:type="dxa"/>
            <w:vMerge w:val="continue"/>
            <w:tcBorders>
              <w:top w:val="nil"/>
              <w:left w:val="single" w:color="auto" w:sz="8" w:space="0"/>
              <w:bottom w:val="single" w:color="auto" w:sz="8" w:space="0"/>
              <w:right w:val="single" w:color="auto" w:sz="8" w:space="0"/>
            </w:tcBorders>
            <w:shd w:val="clear" w:color="auto" w:fill="auto"/>
            <w:tcMar>
              <w:top w:w="57" w:type="dxa"/>
              <w:left w:w="57" w:type="dxa"/>
              <w:bottom w:w="57" w:type="dxa"/>
              <w:right w:w="57" w:type="dxa"/>
            </w:tcMar>
            <w:vAlign w:val="center"/>
          </w:tcPr>
          <w:p>
            <w:pPr>
              <w:rPr>
                <w:rFonts w:asciiTheme="minorEastAsia" w:hAnsiTheme="minorEastAsia"/>
                <w:sz w:val="24"/>
              </w:rPr>
            </w:pPr>
          </w:p>
        </w:tc>
        <w:tc>
          <w:tcPr>
            <w:tcW w:w="684" w:type="dxa"/>
            <w:vMerge w:val="continue"/>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rPr>
                <w:rFonts w:asciiTheme="minorEastAsia" w:hAnsiTheme="minorEastAsia"/>
                <w:sz w:val="24"/>
              </w:rPr>
            </w:pPr>
          </w:p>
        </w:tc>
        <w:tc>
          <w:tcPr>
            <w:tcW w:w="627" w:type="dxa"/>
            <w:vMerge w:val="continue"/>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rPr>
                <w:rFonts w:asciiTheme="minorEastAsia" w:hAnsiTheme="minorEastAsia"/>
                <w:sz w:val="24"/>
              </w:rPr>
            </w:pPr>
          </w:p>
        </w:tc>
        <w:tc>
          <w:tcPr>
            <w:tcW w:w="5847" w:type="dxa"/>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担保公司</w:t>
            </w: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1、注册资本金5亿元及以下的得1分。每增加5亿加1分，本项最高5分。</w:t>
            </w:r>
          </w:p>
          <w:p>
            <w:pPr>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2、</w:t>
            </w:r>
            <w:r>
              <w:rPr>
                <w:rFonts w:hint="eastAsia" w:asciiTheme="minorEastAsia" w:hAnsiTheme="minorEastAsia" w:eastAsiaTheme="minorEastAsia"/>
                <w:kern w:val="0"/>
                <w:sz w:val="24"/>
              </w:rPr>
              <w:t>担保公司Ⅰ级资产比例指标5分。Ⅰ级资产比例指标得分=（投标企业项Ⅰ级资产比例指标—MIN（所有参与企业该项指标）﹜÷﹛MAX（所有参与企业该项指标）—MIN（所有参与企业该项指标））×5分。（以2021年年度数据为准）</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3、与公共资源交易机构对接实施的全流程电子保单保函成功案例的，每提供一个得1</w:t>
            </w:r>
            <w:r>
              <w:rPr>
                <w:rFonts w:asciiTheme="minorEastAsia" w:hAnsiTheme="minorEastAsia" w:eastAsiaTheme="minorEastAsia"/>
                <w:sz w:val="24"/>
              </w:rPr>
              <w:t>分，</w:t>
            </w:r>
            <w:r>
              <w:rPr>
                <w:rFonts w:hint="eastAsia" w:asciiTheme="minorEastAsia" w:hAnsiTheme="minorEastAsia" w:eastAsiaTheme="minorEastAsia"/>
                <w:sz w:val="24"/>
              </w:rPr>
              <w:t>最高不超过5</w:t>
            </w:r>
            <w:r>
              <w:rPr>
                <w:rFonts w:asciiTheme="minorEastAsia" w:hAnsiTheme="minorEastAsia" w:eastAsiaTheme="minorEastAsia"/>
                <w:sz w:val="24"/>
              </w:rPr>
              <w:t>分。</w:t>
            </w:r>
          </w:p>
          <w:p>
            <w:pPr>
              <w:pStyle w:val="5"/>
              <w:widowControl/>
              <w:spacing w:line="230" w:lineRule="atLeast"/>
              <w:ind w:firstLine="480"/>
              <w:jc w:val="lef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自建电子保单保函系统（平台）取得公安部监制的信息系统安全等级保护备案证明三级</w:t>
            </w:r>
            <w:r>
              <w:rPr>
                <w:rFonts w:hint="eastAsia" w:asciiTheme="minorEastAsia" w:hAnsiTheme="minorEastAsia" w:eastAsiaTheme="minorEastAsia"/>
                <w:sz w:val="24"/>
              </w:rPr>
              <w:t>及以上，并取得计算机软件著作登记证书</w:t>
            </w:r>
            <w:r>
              <w:rPr>
                <w:rFonts w:asciiTheme="minorEastAsia" w:hAnsiTheme="minorEastAsia" w:eastAsiaTheme="minorEastAsia"/>
                <w:sz w:val="24"/>
              </w:rPr>
              <w:t>的得</w:t>
            </w:r>
            <w:r>
              <w:rPr>
                <w:rFonts w:hint="eastAsia" w:asciiTheme="minorEastAsia" w:hAnsiTheme="minorEastAsia" w:eastAsiaTheme="minorEastAsia"/>
                <w:sz w:val="24"/>
              </w:rPr>
              <w:t>1</w:t>
            </w:r>
            <w:r>
              <w:rPr>
                <w:rFonts w:asciiTheme="minorEastAsia" w:hAnsiTheme="minorEastAsia" w:eastAsiaTheme="minorEastAsia"/>
                <w:sz w:val="24"/>
              </w:rPr>
              <w:t>0分。</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购买或合作共建的电子保单保函系统（平台）取得公安部监制的信息系统安全等级保护备案证明三级及以上的得</w:t>
            </w:r>
            <w:r>
              <w:rPr>
                <w:rFonts w:asciiTheme="minorEastAsia" w:hAnsiTheme="minorEastAsia" w:eastAsiaTheme="minorEastAsia"/>
                <w:sz w:val="24"/>
              </w:rPr>
              <w:t>6分。</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5、近2年（2020年以来）为内江市经济主体提供融资性担保业务在5亿及以下的得1分，在5亿的基础上每增加5亿加2分，本项最高5分。（提供项目清单，同时提供与被担保单位的服务合同或提供金融工作局证明材料）</w:t>
            </w:r>
          </w:p>
        </w:tc>
        <w:tc>
          <w:tcPr>
            <w:tcW w:w="1200" w:type="dxa"/>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left"/>
              <w:rPr>
                <w:rFonts w:asciiTheme="minorEastAsia" w:hAnsiTheme="minorEastAsia"/>
                <w:sz w:val="24"/>
              </w:rPr>
            </w:pPr>
            <w:r>
              <w:rPr>
                <w:rFonts w:hint="eastAsia" w:cs="仿宋" w:asciiTheme="minorEastAsia" w:hAnsiTheme="minorEastAsia"/>
                <w:kern w:val="0"/>
                <w:sz w:val="24"/>
              </w:rPr>
              <w:t>提供相关证明材料</w:t>
            </w:r>
          </w:p>
        </w:tc>
        <w:tc>
          <w:tcPr>
            <w:tcW w:w="76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spacing w:line="230" w:lineRule="atLeast"/>
              <w:jc w:val="left"/>
              <w:rPr>
                <w:rFonts w:asciiTheme="minorEastAsia" w:hAnsiTheme="minorEastAsia"/>
                <w:sz w:val="24"/>
              </w:rPr>
            </w:pPr>
            <w:r>
              <w:rPr>
                <w:rFonts w:hint="eastAsia" w:cs="仿宋" w:asciiTheme="minorEastAsia" w:hAnsiTheme="minorEastAsia"/>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96" w:hRule="atLeast"/>
          <w:jc w:val="center"/>
        </w:trPr>
        <w:tc>
          <w:tcPr>
            <w:tcW w:w="426" w:type="dxa"/>
            <w:vMerge w:val="continue"/>
            <w:tcBorders>
              <w:top w:val="nil"/>
              <w:left w:val="single" w:color="auto" w:sz="8" w:space="0"/>
              <w:bottom w:val="single" w:color="auto" w:sz="8" w:space="0"/>
              <w:right w:val="single" w:color="auto" w:sz="8" w:space="0"/>
            </w:tcBorders>
            <w:shd w:val="clear" w:color="auto" w:fill="auto"/>
            <w:tcMar>
              <w:top w:w="57" w:type="dxa"/>
              <w:left w:w="57" w:type="dxa"/>
              <w:bottom w:w="57" w:type="dxa"/>
              <w:right w:w="57" w:type="dxa"/>
            </w:tcMar>
            <w:vAlign w:val="center"/>
          </w:tcPr>
          <w:p>
            <w:pPr>
              <w:rPr>
                <w:rFonts w:asciiTheme="minorEastAsia" w:hAnsiTheme="minorEastAsia"/>
                <w:sz w:val="24"/>
              </w:rPr>
            </w:pPr>
          </w:p>
        </w:tc>
        <w:tc>
          <w:tcPr>
            <w:tcW w:w="684" w:type="dxa"/>
            <w:vMerge w:val="continue"/>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rPr>
                <w:rFonts w:asciiTheme="minorEastAsia" w:hAnsiTheme="minorEastAsia"/>
                <w:sz w:val="24"/>
              </w:rPr>
            </w:pPr>
          </w:p>
        </w:tc>
        <w:tc>
          <w:tcPr>
            <w:tcW w:w="627" w:type="dxa"/>
            <w:vMerge w:val="continue"/>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rPr>
                <w:rFonts w:asciiTheme="minorEastAsia" w:hAnsiTheme="minorEastAsia"/>
                <w:sz w:val="24"/>
              </w:rPr>
            </w:pPr>
          </w:p>
        </w:tc>
        <w:tc>
          <w:tcPr>
            <w:tcW w:w="5847" w:type="dxa"/>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ind w:firstLine="480" w:firstLineChars="200"/>
              <w:jc w:val="left"/>
              <w:rPr>
                <w:rFonts w:asciiTheme="minorEastAsia" w:hAnsiTheme="minorEastAsia"/>
                <w:sz w:val="24"/>
              </w:rPr>
            </w:pPr>
            <w:r>
              <w:rPr>
                <w:rFonts w:hint="eastAsia" w:asciiTheme="minorEastAsia" w:hAnsiTheme="minorEastAsia"/>
                <w:sz w:val="24"/>
              </w:rPr>
              <w:t>保险公司</w:t>
            </w: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1、产险公司注册资本金在10亿元的基础上，每增加10亿元得1分，本项最高5分。</w:t>
            </w: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2、综合偿付能力在200%的基础上每增加20%得1分，本项最高5分以银保监会数据为准（2021年度）。</w:t>
            </w: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3、核心偿付能力在100%的基础上每增加20%得1分，本项最高5分，以银保监会数据为准（2021年度）。</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4、与公共资源交易机构对接实施的全流程电子保单保函成功案例的，每提供一个得1</w:t>
            </w:r>
            <w:r>
              <w:rPr>
                <w:rFonts w:asciiTheme="minorEastAsia" w:hAnsiTheme="minorEastAsia" w:eastAsiaTheme="minorEastAsia"/>
                <w:sz w:val="24"/>
              </w:rPr>
              <w:t>分，</w:t>
            </w:r>
            <w:r>
              <w:rPr>
                <w:rFonts w:hint="eastAsia" w:asciiTheme="minorEastAsia" w:hAnsiTheme="minorEastAsia" w:eastAsiaTheme="minorEastAsia"/>
                <w:sz w:val="24"/>
              </w:rPr>
              <w:t>最高不超过5</w:t>
            </w:r>
            <w:r>
              <w:rPr>
                <w:rFonts w:asciiTheme="minorEastAsia" w:hAnsiTheme="minorEastAsia" w:eastAsiaTheme="minorEastAsia"/>
                <w:sz w:val="24"/>
              </w:rPr>
              <w:t>分。</w:t>
            </w: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5、2021年度银保监会风险综合评分为A级及以上得5分。</w:t>
            </w: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6、电子保函业务赔付案例，</w:t>
            </w:r>
            <w:r>
              <w:rPr>
                <w:rFonts w:hint="eastAsia" w:asciiTheme="minorEastAsia" w:hAnsiTheme="minorEastAsia" w:eastAsiaTheme="minorEastAsia"/>
                <w:sz w:val="24"/>
              </w:rPr>
              <w:t>每提供一个得1</w:t>
            </w:r>
            <w:r>
              <w:rPr>
                <w:rFonts w:asciiTheme="minorEastAsia" w:hAnsiTheme="minorEastAsia" w:eastAsiaTheme="minorEastAsia"/>
                <w:sz w:val="24"/>
              </w:rPr>
              <w:t>分，</w:t>
            </w:r>
            <w:r>
              <w:rPr>
                <w:rFonts w:hint="eastAsia" w:asciiTheme="minorEastAsia" w:hAnsiTheme="minorEastAsia" w:eastAsiaTheme="minorEastAsia"/>
                <w:sz w:val="24"/>
              </w:rPr>
              <w:t>最高不超过5</w:t>
            </w:r>
            <w:r>
              <w:rPr>
                <w:rFonts w:asciiTheme="minorEastAsia" w:hAnsiTheme="minorEastAsia" w:eastAsiaTheme="minorEastAsia"/>
                <w:sz w:val="24"/>
              </w:rPr>
              <w:t>分。</w:t>
            </w:r>
            <w:r>
              <w:rPr>
                <w:rFonts w:hint="eastAsia" w:asciiTheme="minorEastAsia" w:hAnsiTheme="minorEastAsia" w:eastAsiaTheme="minorEastAsia"/>
                <w:sz w:val="24"/>
              </w:rPr>
              <w:t>（提供索赔材料及赔款支付凭证）</w:t>
            </w:r>
          </w:p>
        </w:tc>
        <w:tc>
          <w:tcPr>
            <w:tcW w:w="1200" w:type="dxa"/>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r>
              <w:rPr>
                <w:rFonts w:hint="eastAsia" w:cs="仿宋" w:asciiTheme="minorEastAsia" w:hAnsiTheme="minorEastAsia"/>
                <w:kern w:val="0"/>
                <w:sz w:val="24"/>
              </w:rPr>
              <w:t>提供相关证明材料</w:t>
            </w:r>
          </w:p>
        </w:tc>
        <w:tc>
          <w:tcPr>
            <w:tcW w:w="76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spacing w:line="230" w:lineRule="atLeast"/>
              <w:jc w:val="left"/>
              <w:rPr>
                <w:rFonts w:asciiTheme="minorEastAsia" w:hAnsiTheme="minorEastAsia"/>
                <w:sz w:val="24"/>
              </w:rPr>
            </w:pPr>
            <w:r>
              <w:rPr>
                <w:rFonts w:hint="eastAsia" w:cs="仿宋" w:asciiTheme="minorEastAsia" w:hAnsiTheme="minorEastAsia"/>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99" w:hRule="atLeast"/>
          <w:jc w:val="center"/>
        </w:trPr>
        <w:tc>
          <w:tcPr>
            <w:tcW w:w="426" w:type="dxa"/>
            <w:tcBorders>
              <w:top w:val="nil"/>
              <w:left w:val="single" w:color="auto" w:sz="8" w:space="0"/>
              <w:bottom w:val="nil"/>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r>
              <w:rPr>
                <w:rFonts w:hint="eastAsia" w:cs="仿宋" w:asciiTheme="minorEastAsia" w:hAnsiTheme="minorEastAsia"/>
                <w:kern w:val="0"/>
                <w:sz w:val="24"/>
              </w:rPr>
              <w:t>4</w:t>
            </w:r>
          </w:p>
        </w:tc>
        <w:tc>
          <w:tcPr>
            <w:tcW w:w="684" w:type="dxa"/>
            <w:tcBorders>
              <w:top w:val="nil"/>
              <w:left w:val="nil"/>
              <w:bottom w:val="nil"/>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r>
              <w:rPr>
                <w:rFonts w:hint="eastAsia" w:cs="仿宋" w:asciiTheme="minorEastAsia" w:hAnsiTheme="minorEastAsia"/>
                <w:kern w:val="0"/>
                <w:sz w:val="24"/>
              </w:rPr>
              <w:t>售后服务</w:t>
            </w:r>
          </w:p>
        </w:tc>
        <w:tc>
          <w:tcPr>
            <w:tcW w:w="627" w:type="dxa"/>
            <w:tcBorders>
              <w:top w:val="nil"/>
              <w:left w:val="nil"/>
              <w:bottom w:val="nil"/>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r>
              <w:rPr>
                <w:rFonts w:hint="eastAsia" w:cs="仿宋" w:asciiTheme="minorEastAsia" w:hAnsiTheme="minorEastAsia"/>
                <w:kern w:val="0"/>
                <w:sz w:val="24"/>
              </w:rPr>
              <w:t>20分</w:t>
            </w:r>
          </w:p>
        </w:tc>
        <w:tc>
          <w:tcPr>
            <w:tcW w:w="5847" w:type="dxa"/>
            <w:tcBorders>
              <w:top w:val="nil"/>
              <w:left w:val="nil"/>
              <w:bottom w:val="nil"/>
              <w:right w:val="single" w:color="auto" w:sz="8" w:space="0"/>
            </w:tcBorders>
            <w:shd w:val="clear" w:color="auto" w:fill="auto"/>
            <w:tcMar>
              <w:top w:w="57" w:type="dxa"/>
              <w:left w:w="57" w:type="dxa"/>
              <w:bottom w:w="57" w:type="dxa"/>
              <w:right w:w="57" w:type="dxa"/>
            </w:tcMar>
            <w:vAlign w:val="center"/>
          </w:tcPr>
          <w:p>
            <w:pPr>
              <w:widowControl/>
              <w:spacing w:line="230" w:lineRule="atLeast"/>
              <w:ind w:firstLine="480" w:firstLineChars="200"/>
              <w:jc w:val="left"/>
              <w:rPr>
                <w:rFonts w:cs="仿宋" w:asciiTheme="minorEastAsia" w:hAnsiTheme="minorEastAsia"/>
                <w:kern w:val="0"/>
                <w:sz w:val="24"/>
              </w:rPr>
            </w:pPr>
            <w:r>
              <w:rPr>
                <w:rFonts w:hint="eastAsia" w:asciiTheme="minorEastAsia" w:hAnsiTheme="minorEastAsia"/>
                <w:sz w:val="24"/>
              </w:rPr>
              <w:t>1、根据投标人制定的售后服务方案进行综合评定，包括但不限于人员配置、岗位职责、售后服务内容、售后质量保障措施、售后响应等，</w:t>
            </w:r>
            <w:r>
              <w:rPr>
                <w:rFonts w:hint="eastAsia" w:cs="仿宋" w:asciiTheme="minorEastAsia" w:hAnsiTheme="minorEastAsia"/>
                <w:kern w:val="0"/>
                <w:sz w:val="24"/>
              </w:rPr>
              <w:t>能完全满足内江市公共资源交易服务电子保单保函业务要求且方案可行具操作性的每提供一项得1分，其中，每有一项表述条理清晰、内容完备、切实可行、有利于项目实施的的加1分，最多加5分。</w:t>
            </w:r>
          </w:p>
          <w:p>
            <w:pPr>
              <w:widowControl/>
              <w:spacing w:line="230" w:lineRule="atLeast"/>
              <w:ind w:firstLine="480" w:firstLineChars="200"/>
              <w:jc w:val="left"/>
              <w:rPr>
                <w:rFonts w:asciiTheme="minorEastAsia" w:hAnsiTheme="minorEastAsia"/>
                <w:sz w:val="24"/>
              </w:rPr>
            </w:pPr>
            <w:r>
              <w:rPr>
                <w:rFonts w:hint="eastAsia" w:cs="仿宋" w:asciiTheme="minorEastAsia" w:hAnsiTheme="minorEastAsia"/>
                <w:kern w:val="0"/>
                <w:sz w:val="24"/>
              </w:rPr>
              <w:t>2、在内江市城区范围内有经工商注册的服务机构或分支机构的得10分，承诺中标后设立的得6分。（提供营业执照或承诺函）</w:t>
            </w:r>
          </w:p>
        </w:tc>
        <w:tc>
          <w:tcPr>
            <w:tcW w:w="1200" w:type="dxa"/>
            <w:tcBorders>
              <w:top w:val="nil"/>
              <w:left w:val="nil"/>
              <w:bottom w:val="nil"/>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p>
        </w:tc>
        <w:tc>
          <w:tcPr>
            <w:tcW w:w="769" w:type="dxa"/>
            <w:tcBorders>
              <w:top w:val="nil"/>
              <w:left w:val="nil"/>
              <w:bottom w:val="nil"/>
              <w:right w:val="single" w:color="auto" w:sz="8" w:space="0"/>
            </w:tcBorders>
            <w:shd w:val="clear" w:color="auto" w:fill="auto"/>
            <w:tcMar>
              <w:top w:w="0" w:type="dxa"/>
              <w:left w:w="0" w:type="dxa"/>
              <w:bottom w:w="0" w:type="dxa"/>
              <w:right w:w="0" w:type="dxa"/>
            </w:tcMar>
            <w:vAlign w:val="center"/>
          </w:tcPr>
          <w:p>
            <w:pPr>
              <w:widowControl/>
              <w:spacing w:line="230" w:lineRule="atLeast"/>
              <w:jc w:val="center"/>
              <w:rPr>
                <w:rFonts w:asciiTheme="minorEastAsia" w:hAnsiTheme="minorEastAsia"/>
                <w:sz w:val="24"/>
              </w:rPr>
            </w:pPr>
            <w:r>
              <w:rPr>
                <w:rFonts w:hint="eastAsia" w:cs="仿宋" w:asciiTheme="minorEastAsia" w:hAnsiTheme="minorEastAsia"/>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7" w:hRule="atLeast"/>
          <w:jc w:val="center"/>
        </w:trPr>
        <w:tc>
          <w:tcPr>
            <w:tcW w:w="426" w:type="dxa"/>
            <w:tcBorders>
              <w:top w:val="nil"/>
              <w:left w:val="single" w:color="auto" w:sz="8" w:space="0"/>
              <w:bottom w:val="single" w:color="auto" w:sz="4"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cs="仿宋" w:asciiTheme="minorEastAsia" w:hAnsiTheme="minorEastAsia"/>
                <w:kern w:val="0"/>
                <w:sz w:val="24"/>
              </w:rPr>
            </w:pPr>
          </w:p>
        </w:tc>
        <w:tc>
          <w:tcPr>
            <w:tcW w:w="684"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cs="仿宋" w:asciiTheme="minorEastAsia" w:hAnsiTheme="minorEastAsia"/>
                <w:kern w:val="0"/>
                <w:sz w:val="24"/>
              </w:rPr>
            </w:pPr>
          </w:p>
        </w:tc>
        <w:tc>
          <w:tcPr>
            <w:tcW w:w="627"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cs="仿宋" w:asciiTheme="minorEastAsia" w:hAnsiTheme="minorEastAsia"/>
                <w:kern w:val="0"/>
                <w:sz w:val="24"/>
              </w:rPr>
            </w:pPr>
          </w:p>
        </w:tc>
        <w:tc>
          <w:tcPr>
            <w:tcW w:w="5847"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pPr>
              <w:widowControl/>
              <w:spacing w:line="230" w:lineRule="atLeast"/>
              <w:ind w:firstLine="480" w:firstLineChars="200"/>
              <w:jc w:val="left"/>
              <w:rPr>
                <w:rFonts w:asciiTheme="minorEastAsia" w:hAnsiTheme="minorEastAsia"/>
                <w:sz w:val="24"/>
              </w:rPr>
            </w:pPr>
          </w:p>
        </w:tc>
        <w:tc>
          <w:tcPr>
            <w:tcW w:w="1200"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p>
        </w:tc>
        <w:tc>
          <w:tcPr>
            <w:tcW w:w="769"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pPr>
              <w:widowControl/>
              <w:spacing w:line="230" w:lineRule="atLeast"/>
              <w:jc w:val="center"/>
              <w:rPr>
                <w:rFonts w:cs="仿宋" w:asciiTheme="minorEastAsia" w:hAnsiTheme="minorEastAsia"/>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426" w:type="dxa"/>
            <w:tcBorders>
              <w:top w:val="single" w:color="auto" w:sz="4" w:space="0"/>
              <w:left w:val="single" w:color="auto" w:sz="8" w:space="0"/>
              <w:bottom w:val="nil"/>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cs="仿宋" w:asciiTheme="minorEastAsia" w:hAnsiTheme="minorEastAsia"/>
                <w:kern w:val="0"/>
                <w:sz w:val="24"/>
              </w:rPr>
            </w:pPr>
          </w:p>
        </w:tc>
        <w:tc>
          <w:tcPr>
            <w:tcW w:w="684" w:type="dxa"/>
            <w:tcBorders>
              <w:top w:val="single" w:color="auto" w:sz="4" w:space="0"/>
              <w:left w:val="nil"/>
              <w:bottom w:val="nil"/>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cs="仿宋" w:asciiTheme="minorEastAsia" w:hAnsiTheme="minorEastAsia"/>
                <w:kern w:val="0"/>
                <w:sz w:val="24"/>
              </w:rPr>
            </w:pPr>
            <w:r>
              <w:rPr>
                <w:rFonts w:hint="eastAsia" w:cs="仿宋" w:asciiTheme="minorEastAsia" w:hAnsiTheme="minorEastAsia"/>
                <w:kern w:val="0"/>
                <w:sz w:val="24"/>
              </w:rPr>
              <w:t>对当地经济社会贡献度</w:t>
            </w:r>
          </w:p>
        </w:tc>
        <w:tc>
          <w:tcPr>
            <w:tcW w:w="627" w:type="dxa"/>
            <w:tcBorders>
              <w:top w:val="single" w:color="auto" w:sz="4" w:space="0"/>
              <w:left w:val="nil"/>
              <w:bottom w:val="nil"/>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cs="仿宋" w:asciiTheme="minorEastAsia" w:hAnsiTheme="minorEastAsia"/>
                <w:kern w:val="0"/>
                <w:sz w:val="24"/>
              </w:rPr>
            </w:pPr>
            <w:r>
              <w:rPr>
                <w:rFonts w:hint="eastAsia" w:cs="仿宋" w:asciiTheme="minorEastAsia" w:hAnsiTheme="minorEastAsia"/>
                <w:kern w:val="0"/>
                <w:sz w:val="24"/>
              </w:rPr>
              <w:t>5分</w:t>
            </w:r>
          </w:p>
        </w:tc>
        <w:tc>
          <w:tcPr>
            <w:tcW w:w="5847" w:type="dxa"/>
            <w:tcBorders>
              <w:top w:val="single" w:color="auto" w:sz="4" w:space="0"/>
              <w:left w:val="nil"/>
              <w:bottom w:val="nil"/>
              <w:right w:val="single" w:color="auto" w:sz="8" w:space="0"/>
            </w:tcBorders>
            <w:shd w:val="clear" w:color="auto" w:fill="auto"/>
            <w:tcMar>
              <w:top w:w="57" w:type="dxa"/>
              <w:left w:w="57" w:type="dxa"/>
              <w:bottom w:w="57" w:type="dxa"/>
              <w:right w:w="57" w:type="dxa"/>
            </w:tcMar>
            <w:vAlign w:val="center"/>
          </w:tcPr>
          <w:p>
            <w:pPr>
              <w:widowControl/>
              <w:spacing w:line="230" w:lineRule="atLeast"/>
              <w:ind w:firstLine="480" w:firstLineChars="200"/>
              <w:jc w:val="left"/>
              <w:rPr>
                <w:rFonts w:asciiTheme="minorEastAsia" w:hAnsiTheme="minorEastAsia"/>
                <w:sz w:val="24"/>
              </w:rPr>
            </w:pPr>
            <w:r>
              <w:rPr>
                <w:rFonts w:hint="eastAsia" w:asciiTheme="minorEastAsia" w:hAnsiTheme="minorEastAsia"/>
                <w:sz w:val="24"/>
              </w:rPr>
              <w:t>投标人2021年度在内江市的纳税额100万及以下的得1分，每增加100万加1分，本项最高5分。</w:t>
            </w:r>
          </w:p>
        </w:tc>
        <w:tc>
          <w:tcPr>
            <w:tcW w:w="1200" w:type="dxa"/>
            <w:tcBorders>
              <w:top w:val="single" w:color="auto" w:sz="4" w:space="0"/>
              <w:left w:val="nil"/>
              <w:bottom w:val="nil"/>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r>
              <w:rPr>
                <w:rFonts w:hint="eastAsia" w:asciiTheme="minorEastAsia" w:hAnsiTheme="minorEastAsia"/>
                <w:sz w:val="24"/>
              </w:rPr>
              <w:t>提供税务部门相关证明材料</w:t>
            </w:r>
          </w:p>
        </w:tc>
        <w:tc>
          <w:tcPr>
            <w:tcW w:w="769" w:type="dxa"/>
            <w:tcBorders>
              <w:top w:val="single" w:color="auto" w:sz="4" w:space="0"/>
              <w:left w:val="nil"/>
              <w:bottom w:val="nil"/>
              <w:right w:val="single" w:color="auto" w:sz="8" w:space="0"/>
            </w:tcBorders>
            <w:shd w:val="clear" w:color="auto" w:fill="auto"/>
            <w:tcMar>
              <w:top w:w="0" w:type="dxa"/>
              <w:left w:w="0" w:type="dxa"/>
              <w:bottom w:w="0" w:type="dxa"/>
              <w:right w:w="0" w:type="dxa"/>
            </w:tcMar>
            <w:vAlign w:val="center"/>
          </w:tcPr>
          <w:p>
            <w:pPr>
              <w:widowControl/>
              <w:spacing w:line="230" w:lineRule="atLeast"/>
              <w:jc w:val="center"/>
              <w:rPr>
                <w:rFonts w:cs="仿宋" w:asciiTheme="minorEastAsia" w:hAnsiTheme="minorEastAsia"/>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99" w:hRule="atLeast"/>
          <w:jc w:val="center"/>
        </w:trPr>
        <w:tc>
          <w:tcPr>
            <w:tcW w:w="426" w:type="dxa"/>
            <w:tcBorders>
              <w:top w:val="nil"/>
              <w:left w:val="single" w:color="auto" w:sz="8" w:space="0"/>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ind w:firstLine="120" w:firstLineChars="50"/>
              <w:rPr>
                <w:rFonts w:cs="仿宋" w:asciiTheme="minorEastAsia" w:hAnsiTheme="minorEastAsia"/>
                <w:kern w:val="0"/>
                <w:sz w:val="24"/>
              </w:rPr>
            </w:pPr>
            <w:r>
              <w:rPr>
                <w:rFonts w:hint="eastAsia" w:cs="仿宋" w:asciiTheme="minorEastAsia" w:hAnsiTheme="minorEastAsia"/>
                <w:kern w:val="0"/>
                <w:sz w:val="24"/>
              </w:rPr>
              <w:t>5</w:t>
            </w:r>
          </w:p>
        </w:tc>
        <w:tc>
          <w:tcPr>
            <w:tcW w:w="684" w:type="dxa"/>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rPr>
                <w:rFonts w:cs="仿宋" w:asciiTheme="minorEastAsia" w:hAnsiTheme="minorEastAsia"/>
                <w:kern w:val="0"/>
                <w:sz w:val="24"/>
              </w:rPr>
            </w:pPr>
          </w:p>
        </w:tc>
        <w:tc>
          <w:tcPr>
            <w:tcW w:w="627" w:type="dxa"/>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cs="仿宋" w:asciiTheme="minorEastAsia" w:hAnsiTheme="minorEastAsia"/>
                <w:kern w:val="0"/>
                <w:sz w:val="24"/>
              </w:rPr>
            </w:pPr>
          </w:p>
        </w:tc>
        <w:tc>
          <w:tcPr>
            <w:tcW w:w="5847" w:type="dxa"/>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left"/>
              <w:rPr>
                <w:rFonts w:asciiTheme="minorEastAsia" w:hAnsiTheme="minorEastAsia"/>
                <w:sz w:val="24"/>
              </w:rPr>
            </w:pPr>
          </w:p>
        </w:tc>
        <w:tc>
          <w:tcPr>
            <w:tcW w:w="1200" w:type="dxa"/>
            <w:tcBorders>
              <w:top w:val="nil"/>
              <w:left w:val="nil"/>
              <w:bottom w:val="single" w:color="auto" w:sz="8" w:space="0"/>
              <w:right w:val="single" w:color="auto" w:sz="8" w:space="0"/>
            </w:tcBorders>
            <w:shd w:val="clear" w:color="auto" w:fill="auto"/>
            <w:tcMar>
              <w:top w:w="57" w:type="dxa"/>
              <w:left w:w="57" w:type="dxa"/>
              <w:bottom w:w="57" w:type="dxa"/>
              <w:right w:w="57" w:type="dxa"/>
            </w:tcMar>
            <w:vAlign w:val="center"/>
          </w:tcPr>
          <w:p>
            <w:pPr>
              <w:widowControl/>
              <w:spacing w:line="230" w:lineRule="atLeast"/>
              <w:jc w:val="center"/>
              <w:rPr>
                <w:rFonts w:asciiTheme="minorEastAsia" w:hAnsiTheme="minorEastAsia"/>
                <w:sz w:val="24"/>
              </w:rPr>
            </w:pPr>
          </w:p>
        </w:tc>
        <w:tc>
          <w:tcPr>
            <w:tcW w:w="76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spacing w:line="230" w:lineRule="atLeast"/>
              <w:jc w:val="center"/>
              <w:rPr>
                <w:rFonts w:cs="仿宋" w:asciiTheme="minorEastAsia" w:hAnsiTheme="minorEastAsia"/>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ODJhODBjNjY5MzdjOTBjNmVlMTgwYTNjYTA5ZDgifQ=="/>
  </w:docVars>
  <w:rsids>
    <w:rsidRoot w:val="CF798236"/>
    <w:rsid w:val="36F5623E"/>
    <w:rsid w:val="4D6A5BF0"/>
    <w:rsid w:val="CF798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pPr>
      <w:widowControl/>
      <w:spacing w:after="120"/>
    </w:pPr>
    <w:rPr>
      <w:kern w:val="0"/>
      <w:sz w:val="16"/>
      <w:szCs w:val="16"/>
    </w:rPr>
  </w:style>
  <w:style w:type="paragraph" w:styleId="5">
    <w:name w:val="List Paragraph"/>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1418</Words>
  <Characters>1500</Characters>
  <Lines>0</Lines>
  <Paragraphs>0</Paragraphs>
  <TotalTime>39</TotalTime>
  <ScaleCrop>false</ScaleCrop>
  <LinksUpToDate>false</LinksUpToDate>
  <CharactersWithSpaces>1514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2022-08-05T11:06:00Z</dcterms:created>
  <dc:creator>user</dc:creator>
  <cp:lastModifiedBy>NTKO</cp:lastModifiedBy>
  <dcterms:modified xsi:type="dcterms:W3CDTF">2022-09-19T04:56:48Z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EE86746B227743A3AA4B543D83300605</vt:lpwstr>
  </property>
</Properties>
</file>